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6 vom 25. Oktober 2022</w:t>
      </w:r>
    </w:p>
    <w:p>
      <w:r>
        <w:t>VS Kantonsgericht, 2022-10-25, FR</w:t>
      </w:r>
    </w:p>
    <w:p>
      <w:r>
        <w:rPr>
          <w:b/>
        </w:rPr>
        <w:t xml:space="preserve">Quelle: </w:t>
      </w:r>
      <w:r>
        <w:t>https://mcp.opencaselaw.ch/entscheid/vs_gerichte_S1 22 6</w:t>
      </w:r>
    </w:p>
    <w:p>
      <w:r>
        <w:t>FR: VS_GERICHTE S1 22 6 du 25 octobre 2022</w:t>
      </w:r>
    </w:p>
    <w:p>
      <w:r>
        <w:t>IT: VS_GERICHTE S1 22 6 del 25 ottobre 2022</w:t>
      </w:r>
    </w:p>
    <w:p>
      <w:pPr>
        <w:pStyle w:val="Heading2"/>
      </w:pPr>
      <w:r>
        <w:t>Regeste</w:t>
      </w:r>
    </w:p>
    <w:p>
      <w:r>
        <w:t>S1 22 6 JUGEMENT DU 25 OCTOBRE 2022 Tribunal cantonal du Valais Cour des assurances sociales Composition : Candido Prada, président ; Jean-Bernard Fournier et Christophe Joris, juges ; Mireille Allegro, greffière en la cause X _________, A _________, recourante, agissant par son curateur B _________ et représentée par Maître Jean-Luc Martenet, avocat, 1870 Monthey 2 contre CAISSE DE COMPENSATION DU CANTON DU VALAIS, 1951 Sion, intimée (art. 11 LPC, art. 17 et 17a OPC ; droit aux prestations complémentaires, évaluation de la fortune immobilière ; dessaisissement en faveur des enfants)</w:t>
      </w:r>
    </w:p>
    <w:p>
      <w:pPr>
        <w:pStyle w:val="Heading2"/>
      </w:pPr>
      <w:r>
        <w:t>Erwägungen</w:t>
      </w:r>
    </w:p>
    <w:p>
      <w:r>
        <w:rPr>
          <w:b/>
        </w:rPr>
        <w:t>E. 4</w:t>
      </w:r>
    </w:p>
    <w:p>
      <w:r>
        <w:t>let. a et 60 LPGA), et devant l'instance compétente (art. 56, 57 et 58 LPGA ; art. 81a al. 1 de la loi du 6 octobre 1976 sur la procédure et la juridiction administratives - LPJA ; RS/VS 172.6). Il répond par ailleurs aux autres conditions formelles de recevabilité (art. 61 let. b LPGA), de sorte que la Cour doit entrer en matière. 2. Le litige porte sur le droit de la recourante à des prestations complémentaires dès le 1er mars 2020, en particulier sur le montant de la fortune dessaisie en lien avec la vente de la maison familiale en avril 2018. La CCC a évalué la situation de l’intéressée en tenant compte d’une fortune dessaisie de 188 882 fr. 50. C’est cette évaluation qui est ici contestée. 2.1 La décision attaquée expose de manière complète les dispositions et les principes jurisprudentiels applicables à la résolution du litige, notamment les articles 9 alinéa 1 et 11 alinéa 1 LPC, l’article 18 OPC (ordonnance sur les prestations complémentaires à l'assurance-vieillesse, survivants et invalidité - OPC-AVS/AI ; RS 831.301) et les dispositions du code civil relatives à la liquidation du régime matrimonial en vigueur jusqu'au 31 décembre 1987, ainsi qu’au partage successoral (dont en particulier l'art. 462 ch. 1 aCC). Il suffit d'y renvoyer.</w:t>
      </w:r>
    </w:p>
    <w:p>
      <w:r>
        <w:t>- 5 - On rappellera qu'il y a dessaisissement lorsque la personne concernée a renoncé à des éléments de revenu ou de fortune sans obligation juridique et sans avoir reçu en échange une contre-prestation équivalente, ces deux conditions étant alternatives (ATF 140 V 267 consid. 2.2 ; 134 I 65 consid. 3.2 ; 131 V 329 consid. 4.4 ; Michel Valterio, Commentaire de la loi fédérale sur les prestations complémentaires à l'AVS et à l'AI, 2015, n° 95 ad art. 11, p. 168). Par ailleurs, conformément aux article 213 et 214 alinéa 1 aCC, au décès du mari, le bénéfice restant après le prélèvement de ses apports par la femme appartenait pour un tiers à celle-ci ou à ses descendants et, pour le surplus, au mari ou à ses héritiers. En outre, selon l'article 462 alinéa 1 aCC, le conjoint survivant pouvait réclamer à son choix, si le défunt laissait des descendants, l'usufruit de la moitié ou la propriété du quart de la succession. Dans cette dernière hypothèse, la part de l’épouse s'élevait dès lors à 1/2 (1/3 [résultant de la dissolution du régime matrimonial] + 1/4 x 2/3 [résultant du partage de la succession] ; cf. arrêt du Tribunal fédéral 9C_422/2021 du 23 mars 2022 consid. 4.1). 2.2 En l’espèce, l’intimée a considéré que la recourante avait renoncé, sans obligation juridique ni contre-prestation, à sa part résultant de la liquidation du régime matrimonial et de la succession à la suite de la vente de l’immeuble familial en avril 2018. De son côté, la recourante prétend, d’une part, qu’elle a utilisé sa part pour rembourser et radier l’hypothèque de 110 000 fr. inscrite sur l’immeuble et, d’autre part, qu’elle n’aurait de toute façon pas pu exiger de ses enfants de recevoir le quart en propriété dès lors qu’elle avait bénéficié de la jouissance exclusive du logement durant 42 ans. 2.2.1 A l’époque du décès de l’époux en 1975, le droit d'option du conjoint survivant entre l'usufruit ou une part en propriété était un droit formateur non strictement personnel, dont l'exercice devait être inconditionnel et irrévocable (Piotet, Droit successoral, Traité de droit privé suisse, IV, p. 53 et les références). La loi ne prévoyait pas de délai pendant lequel le conjoint survivant devait se décider entre l'usufruit et la part de propriété. C'était incontestablement une lacune de la loi. Le partage de la succession ne pouvait en effet être opéré sans que soit connu le choix du conjoint survivant. Partant, ce choix devait intervenir au plus tard au moment du partage (ATF 109 II 298 consid. 2), étant précisé qu’en vertu de l’article 15 alinéa 1 du Titre final CC, « la succession d’une personne décédée avant l’entrée en vigueur du présent code est régie, même postérieurement, par la loi ancienne ».</w:t>
      </w:r>
    </w:p>
    <w:p>
      <w:r>
        <w:t>- 6 - 2.2.2 En l’occurrence, la recourante n’a jamais opté clairement pour l’usufruit ou une part en propriété, ni au moment du décès de son époux en 1975 ni lors de la dévolution à l’hoirie en 2001 ni lors de la vente en 2018. Tant les extraits du registre foncier que le contrat de vente du 30 avril 2018 indiquent que les hoirs sont demeurés en communauté héréditaire. Dans les faits, les enfants de la recourante ont procédé comme si le défunt ou son épouse avait choisi l’usufruit. Ils se sont ainsi contentés de la nue-propriété des 3/4, laissant le 1/4 en propriété et l'usufruit de toute leur part à leur mère. En outre, rien n'indique que la renonciation à une partie de leurs droits devait être prise en compte ultérieurement pour le partage définitif de la succession. Au contraire, comme cela arrive souvent dans les familles unies - et tout particulièrement quand la succession comprend l'habitation familiale - il était prévu selon toute vraisemblance que la succession du défunt ne serait pas définitivement réglée du vivant du conjoint. Cela étant, il n'y a aucune raison d'admettre que la recourante était redevable aux autres héritiers d'un montant quelconque du chef de l'usufruit dont elle a bénéficié sur l’immeuble familial (cf. arrêt du Tribunal fédéral des assurances P 24/98 du 26 janvier 2000). 2.3 S’agissant de la cédule hypothécaire au porteur de 110 000 fr. constituée le 28 mai 2003, même si le contrat mentionne comme but des « besoins privés », rien ne permet d’admettre qu’il s’agissait d’une avance sur héritage en faveur de la recourante et utilisée par cette dernière pour ses besoins personnels et non pour l’entretien courant et le rafraîchissement de la maison familiale. A cet égard, la recourante n’apporte aucun élément démontrant l’utilisation de ce prêt. L’acte de vente du 30 avril 2018 prévoit d’ailleurs que « cette cédule est comprise dans le prix de vente » de 525 000 fr., ce qui signifie qu’elle devait être remboursée avant le partage du solde entre les hoirs et copropriétaires de l’immeuble. Sur le solde versé par UBS de 377 765 fr., après remboursement de l’hypothèque et des intérêts par 110 272 fr. 25, paiement de la commission de courtage par 25 000 fr. et vraisemblablement des impôts sur le gain immobilier (selon allégué de la recourante) par 11 962 75, la recourante aurait dû obtenir 1/3 (résultant de la dissolution du régime matrimonial) plus 1/4 x 2/3 résultant du partage de la succession, soit 1/2. Par conséquent, c'est à juste titre que l’intimée a pris en considération la moitié du solde du prix de vente, soit 188 882 fr. 50, à titre de fortune dessaisie. 3. En tous points mal fondé, le recours est rejeté et la décision sur opposition du</w:t>
      </w:r>
    </w:p>
    <w:p>
      <w:r>
        <w:rPr>
          <w:b/>
        </w:rPr>
        <w:t>E. 4.1</w:t>
      </w:r>
    </w:p>
    <w:p>
      <w:r>
        <w:t>La recourante qui succombe n’a pas droit à des dépens (art. 61 let. g LPGA a contrario).</w:t>
      </w:r>
    </w:p>
    <w:p>
      <w:r>
        <w:rPr>
          <w:b/>
        </w:rPr>
        <w:t>E. 4.2</w:t>
      </w:r>
    </w:p>
    <w:p>
      <w:r>
        <w:t>La procédure est gratuite (art. 61 let. a LPGA).</w:t>
      </w:r>
    </w:p>
    <w:p>
      <w:r>
        <w:t>Prononce</w:t>
      </w:r>
    </w:p>
    <w:p>
      <w:r>
        <w:t>1. Le recours est rejeté. 2. Il n'est pas perçu de frais, ni alloué de dépens.</w:t>
      </w:r>
    </w:p>
    <w:p>
      <w:r>
        <w:t>Sion, le 25 octobre 2022</w:t>
      </w:r>
    </w:p>
    <w:p>
      <w:r>
        <w:rPr>
          <w:b/>
        </w:rPr>
        <w:t>E. 7</w:t>
      </w:r>
    </w:p>
    <w:p>
      <w:r>
        <w:t>décembre 2021 confirmée.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